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BAE3" w14:textId="39F1E439" w:rsidR="00837976" w:rsidRPr="00837976" w:rsidRDefault="00837976" w:rsidP="00837976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Times New Roman"/>
          <w:b/>
          <w:bCs/>
          <w:kern w:val="36"/>
          <w:u w:val="single"/>
          <w14:ligatures w14:val="none"/>
        </w:rPr>
      </w:pPr>
      <w:r w:rsidRPr="00837976">
        <w:rPr>
          <w:rFonts w:ascii="Helvetica" w:eastAsia="Times New Roman" w:hAnsi="Helvetica" w:cs="Times New Roman"/>
          <w:b/>
          <w:bCs/>
          <w:kern w:val="36"/>
          <w:u w:val="single"/>
          <w14:ligatures w14:val="none"/>
        </w:rPr>
        <w:t>Report on Industry Needs in Sustainable Textile and Fashion Materials</w:t>
      </w:r>
    </w:p>
    <w:p w14:paraId="110E4C91" w14:textId="77777777" w:rsidR="00837976" w:rsidRPr="00837976" w:rsidRDefault="00837976" w:rsidP="00837976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kern w:val="0"/>
          <w:sz w:val="20"/>
          <w:szCs w:val="20"/>
          <w14:ligatures w14:val="none"/>
        </w:rPr>
      </w:pPr>
      <w:r w:rsidRPr="00837976">
        <w:rPr>
          <w:rFonts w:ascii="Helvetica" w:eastAsia="Times New Roman" w:hAnsi="Helvetica" w:cs="Times New Roman"/>
          <w:b/>
          <w:bCs/>
          <w:kern w:val="0"/>
          <w:sz w:val="20"/>
          <w:szCs w:val="20"/>
          <w14:ligatures w14:val="none"/>
        </w:rPr>
        <w:t>Executive Summary</w:t>
      </w:r>
    </w:p>
    <w:p w14:paraId="6C9C0FB2" w14:textId="77777777" w:rsidR="00837976" w:rsidRPr="00837976" w:rsidRDefault="00837976" w:rsidP="00837976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>The sustainable textile and fashion sector in Europe is undergoing transformative change driven by urgent environmental and social imperatives. Our comprehensive research—anchored by two surveys targeting universities and creative hubs/networks—reveals a rich, yet fragmented ecosystem of stakeholders whose needs, challenges, and aspirations intersect around knowledge accessibility, material innovation, and collaboration.</w:t>
      </w:r>
    </w:p>
    <w:p w14:paraId="3A130245" w14:textId="77777777" w:rsidR="00837976" w:rsidRPr="00837976" w:rsidRDefault="00837976" w:rsidP="00837976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This report synthesizes the detailed stakeholder landscape—including academic institutions such as </w:t>
      </w:r>
      <w:proofErr w:type="spellStart"/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Politecnico</w:t>
      </w:r>
      <w:proofErr w:type="spellEnd"/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 xml:space="preserve"> di Milano (IT)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, </w:t>
      </w: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Aalto University (FI)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, </w:t>
      </w: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Moholy-Nagy University (HU)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, creative hubs like </w:t>
      </w:r>
      <w:proofErr w:type="spellStart"/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Lottozero</w:t>
      </w:r>
      <w:proofErr w:type="spellEnd"/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 xml:space="preserve"> Textile Hub (IT)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, </w:t>
      </w: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Textile Prototyping Lab (DE)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, and networks such as </w:t>
      </w: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European Textile Network (BE)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and </w:t>
      </w: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EURATEX (BE)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—and identifies critical gaps and opportunities. We align these insights with the </w:t>
      </w:r>
      <w:proofErr w:type="spellStart"/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Imasus</w:t>
      </w:r>
      <w:proofErr w:type="spellEnd"/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 xml:space="preserve"> project’s mission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>: to facilitate sustainable innovation by creating a robust, accessible knowledge infrastructure and fostering cross-sector collaboration.</w:t>
      </w:r>
    </w:p>
    <w:p w14:paraId="064AEC68" w14:textId="77777777" w:rsidR="00837976" w:rsidRPr="00837976" w:rsidRDefault="00E76D6B" w:rsidP="00837976">
      <w:pPr>
        <w:spacing w:after="0" w:line="24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E76D6B">
        <w:rPr>
          <w:rFonts w:ascii="Helvetica" w:eastAsia="Times New Roman" w:hAnsi="Helvetica" w:cs="Times New Roman"/>
          <w:noProof/>
          <w:kern w:val="0"/>
        </w:rPr>
        <w:pict w14:anchorId="19A208B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35C155F" w14:textId="77777777" w:rsidR="00837976" w:rsidRPr="00837976" w:rsidRDefault="00837976" w:rsidP="00837976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837976">
        <w:rPr>
          <w:rFonts w:ascii="Helvetica" w:eastAsia="Times New Roman" w:hAnsi="Helvetica" w:cs="Times New Roman"/>
          <w:b/>
          <w:bCs/>
          <w:kern w:val="0"/>
          <w:sz w:val="20"/>
          <w:szCs w:val="20"/>
          <w:u w:val="single"/>
          <w14:ligatures w14:val="none"/>
        </w:rPr>
        <w:t>1. Introduction</w:t>
      </w:r>
    </w:p>
    <w:p w14:paraId="7EAC8AD7" w14:textId="77777777" w:rsidR="00837976" w:rsidRPr="00837976" w:rsidRDefault="00837976" w:rsidP="00837976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Sustainability challenges in textile and fashion demand coordinated innovation across disciplines and industries. The </w:t>
      </w:r>
      <w:proofErr w:type="spellStart"/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>Imasus</w:t>
      </w:r>
      <w:proofErr w:type="spellEnd"/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project seeks to catalyze this by building an integrated digital platform that empowers all actors—from researchers to designers to manufacturers—to access verified material information, share expertise, and co-develop sustainable solutions.</w:t>
      </w:r>
    </w:p>
    <w:p w14:paraId="3C575630" w14:textId="77777777" w:rsidR="00837976" w:rsidRPr="00837976" w:rsidRDefault="00837976" w:rsidP="00837976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To ensure </w:t>
      </w:r>
      <w:proofErr w:type="spellStart"/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>Imasus</w:t>
      </w:r>
      <w:proofErr w:type="spellEnd"/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addresses real-world needs, we conducted two complementary surveys:</w:t>
      </w:r>
    </w:p>
    <w:p w14:paraId="7D92417B" w14:textId="77777777" w:rsidR="00837976" w:rsidRPr="00837976" w:rsidRDefault="00837976" w:rsidP="008379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Survey 1: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Engaged universities and educational institutions listed in the stakeholder file, such as </w:t>
      </w: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Aalto University (FI)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, </w:t>
      </w:r>
      <w:proofErr w:type="spellStart"/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Politecnico</w:t>
      </w:r>
      <w:proofErr w:type="spellEnd"/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 xml:space="preserve"> di Milano (IT)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, </w:t>
      </w: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NABA (IT)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, and </w:t>
      </w: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Moholy-Nagy University of Art and Design Budapest (HU)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>, focusing on academic research, pedagogy, and material science innovation.</w:t>
      </w:r>
    </w:p>
    <w:p w14:paraId="6EE707EA" w14:textId="77777777" w:rsidR="00837976" w:rsidRPr="00837976" w:rsidRDefault="00837976" w:rsidP="008379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Survey 2: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Engaged creative hubs, textile labs, institutional networks, and innovative enterprises such as </w:t>
      </w:r>
      <w:proofErr w:type="spellStart"/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Lottozero</w:t>
      </w:r>
      <w:proofErr w:type="spellEnd"/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 xml:space="preserve"> Textile Hub (IT)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, </w:t>
      </w: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Textile Prototyping Lab (DE)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, </w:t>
      </w: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Waag Textile Lab (NL)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, and </w:t>
      </w:r>
      <w:proofErr w:type="spellStart"/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Ecoalf</w:t>
      </w:r>
      <w:proofErr w:type="spellEnd"/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 xml:space="preserve"> (ES)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>, working hands-on with textile and fashion sustainability.</w:t>
      </w:r>
    </w:p>
    <w:p w14:paraId="75CC8CF9" w14:textId="78BAB6A5" w:rsidR="00837976" w:rsidRDefault="00837976" w:rsidP="006C198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This report merges insights from both, relating their unique and overlapping challenges, and positioning </w:t>
      </w:r>
      <w:proofErr w:type="spellStart"/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>Imasus</w:t>
      </w:r>
      <w:proofErr w:type="spellEnd"/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as a key enabler.</w:t>
      </w:r>
    </w:p>
    <w:p w14:paraId="7EBB90CA" w14:textId="77777777" w:rsidR="006C1982" w:rsidRPr="00837976" w:rsidRDefault="006C1982" w:rsidP="006C198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</w:p>
    <w:p w14:paraId="43491428" w14:textId="77777777" w:rsidR="00837976" w:rsidRPr="00837976" w:rsidRDefault="00837976" w:rsidP="00837976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837976">
        <w:rPr>
          <w:rFonts w:ascii="Helvetica" w:eastAsia="Times New Roman" w:hAnsi="Helvetica" w:cs="Times New Roman"/>
          <w:b/>
          <w:bCs/>
          <w:kern w:val="0"/>
          <w:sz w:val="20"/>
          <w:szCs w:val="20"/>
          <w:u w:val="single"/>
          <w14:ligatures w14:val="none"/>
        </w:rPr>
        <w:t>2. The Stakeholder Ecosystem</w:t>
      </w:r>
    </w:p>
    <w:p w14:paraId="65972B5B" w14:textId="77777777" w:rsidR="00837976" w:rsidRPr="00837976" w:rsidRDefault="00837976" w:rsidP="00837976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>Our stakeholder landscape reveals a multi-layered network:</w:t>
      </w:r>
    </w:p>
    <w:p w14:paraId="73672051" w14:textId="77777777" w:rsidR="00837976" w:rsidRPr="00837976" w:rsidRDefault="00837976" w:rsidP="00837976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kern w:val="0"/>
          <w:sz w:val="20"/>
          <w:szCs w:val="20"/>
          <w14:ligatures w14:val="none"/>
        </w:rPr>
      </w:pPr>
      <w:r w:rsidRPr="00837976">
        <w:rPr>
          <w:rFonts w:ascii="Helvetica" w:eastAsia="Times New Roman" w:hAnsi="Helvetica" w:cs="Times New Roman"/>
          <w:b/>
          <w:bCs/>
          <w:kern w:val="0"/>
          <w:sz w:val="20"/>
          <w:szCs w:val="20"/>
          <w14:ligatures w14:val="none"/>
        </w:rPr>
        <w:t>2.1 Academic Institutions (Universities and Schools)</w:t>
      </w:r>
    </w:p>
    <w:p w14:paraId="564FB098" w14:textId="77777777" w:rsidR="00837976" w:rsidRPr="00837976" w:rsidRDefault="00837976" w:rsidP="008379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proofErr w:type="spellStart"/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Politecnico</w:t>
      </w:r>
      <w:proofErr w:type="spellEnd"/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 xml:space="preserve"> di Milano (IT):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Known for cutting-edge material research and design education, highlighting the need to better translate research outputs for practical industry application.</w:t>
      </w:r>
    </w:p>
    <w:p w14:paraId="4A36AA15" w14:textId="77777777" w:rsidR="00837976" w:rsidRPr="00837976" w:rsidRDefault="00837976" w:rsidP="008379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Aalto University (FI):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Emphasizes interdisciplinary approaches combining technology and sustainability, expressing interest in enhanced collaboration platforms to bridge academia and industry.</w:t>
      </w:r>
    </w:p>
    <w:p w14:paraId="2E27D2ED" w14:textId="77777777" w:rsidR="00837976" w:rsidRPr="00837976" w:rsidRDefault="00837976" w:rsidP="008379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Moholy-Nagy University of Art and Design Budapest (HU):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Focuses on innovative textile materials and circular design, indicating a need for transparent material databases and accessible certification information.</w:t>
      </w:r>
    </w:p>
    <w:p w14:paraId="48D3AC22" w14:textId="77777777" w:rsidR="00837976" w:rsidRPr="00837976" w:rsidRDefault="00837976" w:rsidP="008379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NABA - Nuova Accademia di Belle Arti (IT):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Prioritizes embedding sustainability in design </w:t>
      </w:r>
      <w:proofErr w:type="gramStart"/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>curricula, but</w:t>
      </w:r>
      <w:proofErr w:type="gramEnd"/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faces challenges integrating up-to-date material science data into teaching.</w:t>
      </w:r>
    </w:p>
    <w:p w14:paraId="7B7F6C9D" w14:textId="77777777" w:rsidR="00837976" w:rsidRPr="00837976" w:rsidRDefault="00837976" w:rsidP="008379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Beuth Hochschule für Technik Berlin (DE):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Engaged in textile engineering research, seeking access to verified supplier information and sustainable material sourcing.</w:t>
      </w:r>
    </w:p>
    <w:p w14:paraId="6276C230" w14:textId="77777777" w:rsidR="00837976" w:rsidRPr="00837976" w:rsidRDefault="00837976" w:rsidP="00837976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lastRenderedPageBreak/>
        <w:t>These institutions contribute deep scientific expertise but identify gaps in knowledge dissemination and practical industry engagement.</w:t>
      </w:r>
    </w:p>
    <w:p w14:paraId="01048EB9" w14:textId="77777777" w:rsidR="00837976" w:rsidRPr="00837976" w:rsidRDefault="00837976" w:rsidP="00837976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kern w:val="0"/>
          <w:sz w:val="20"/>
          <w:szCs w:val="20"/>
          <w14:ligatures w14:val="none"/>
        </w:rPr>
      </w:pPr>
      <w:r w:rsidRPr="00837976">
        <w:rPr>
          <w:rFonts w:ascii="Helvetica" w:eastAsia="Times New Roman" w:hAnsi="Helvetica" w:cs="Times New Roman"/>
          <w:b/>
          <w:bCs/>
          <w:kern w:val="0"/>
          <w:sz w:val="20"/>
          <w:szCs w:val="20"/>
          <w14:ligatures w14:val="none"/>
        </w:rPr>
        <w:t>2.2 Creative and Textile Labs</w:t>
      </w:r>
    </w:p>
    <w:p w14:paraId="26E3F62C" w14:textId="77777777" w:rsidR="00837976" w:rsidRPr="00837976" w:rsidRDefault="00837976" w:rsidP="008379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proofErr w:type="spellStart"/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Lottozero</w:t>
      </w:r>
      <w:proofErr w:type="spellEnd"/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 xml:space="preserve"> Textile Hub (IT):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Acts as a bridge between design experimentation and production but lacks scalable frameworks to extend innovations beyond pilot projects.</w:t>
      </w:r>
    </w:p>
    <w:p w14:paraId="1267BAD9" w14:textId="77777777" w:rsidR="00837976" w:rsidRPr="00837976" w:rsidRDefault="00837976" w:rsidP="008379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Textile Prototyping Lab (DE):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Focuses on prototyping sustainable materials but struggles with limited access to comprehensive, validated supplier and certification data.</w:t>
      </w:r>
    </w:p>
    <w:p w14:paraId="3077D30A" w14:textId="77777777" w:rsidR="00837976" w:rsidRPr="00837976" w:rsidRDefault="00837976" w:rsidP="008379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Waag Textile Lab (NL):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Drives hands-on experimentation and educational outreach, requesting more open-access knowledge bases and modular learning materials.</w:t>
      </w:r>
    </w:p>
    <w:p w14:paraId="7FE7EB4D" w14:textId="77777777" w:rsidR="00837976" w:rsidRPr="00837976" w:rsidRDefault="00837976" w:rsidP="008379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Le Textile Lab (FR):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Highlights challenges in combining circular design principles with industrial scalability, underlining the need for better industry-academia linkages.</w:t>
      </w:r>
    </w:p>
    <w:p w14:paraId="7F3AE829" w14:textId="77777777" w:rsidR="00837976" w:rsidRPr="00837976" w:rsidRDefault="00837976" w:rsidP="00837976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kern w:val="0"/>
          <w:sz w:val="20"/>
          <w:szCs w:val="20"/>
          <w14:ligatures w14:val="none"/>
        </w:rPr>
      </w:pPr>
      <w:r w:rsidRPr="00837976">
        <w:rPr>
          <w:rFonts w:ascii="Helvetica" w:eastAsia="Times New Roman" w:hAnsi="Helvetica" w:cs="Times New Roman"/>
          <w:b/>
          <w:bCs/>
          <w:kern w:val="0"/>
          <w:sz w:val="20"/>
          <w:szCs w:val="20"/>
          <w14:ligatures w14:val="none"/>
        </w:rPr>
        <w:t>2.3 Networks and Industry Platforms</w:t>
      </w:r>
    </w:p>
    <w:p w14:paraId="11E966CE" w14:textId="77777777" w:rsidR="00837976" w:rsidRPr="00837976" w:rsidRDefault="00837976" w:rsidP="008379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European Textile Network (BE):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Advocates for pan-European collaboration and improved knowledge standardization to reduce fragmentation across sectors.</w:t>
      </w:r>
    </w:p>
    <w:p w14:paraId="4219B4B1" w14:textId="77777777" w:rsidR="00837976" w:rsidRPr="00837976" w:rsidRDefault="00837976" w:rsidP="008379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EURATEX (BE):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Emphasizes the importance of transparent supply chains and certification harmonization to foster sustainable material adoption.</w:t>
      </w:r>
    </w:p>
    <w:p w14:paraId="6F35CB8E" w14:textId="77777777" w:rsidR="00837976" w:rsidRPr="00837976" w:rsidRDefault="00837976" w:rsidP="008379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ACTE - European Association for Creative Textile and Fashion Enterprises (BE):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Supports creative SMEs but notes difficulties in accessing verified material databases and cost-effective circular solutions.</w:t>
      </w:r>
    </w:p>
    <w:p w14:paraId="7DCEFDF1" w14:textId="77777777" w:rsidR="00837976" w:rsidRPr="00837976" w:rsidRDefault="00837976" w:rsidP="008379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MAD Brussels (BE):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Focuses on facilitating sustainable innovation and cross-border partnerships within the creative industries.</w:t>
      </w:r>
    </w:p>
    <w:p w14:paraId="08F11465" w14:textId="77777777" w:rsidR="00837976" w:rsidRPr="00837976" w:rsidRDefault="00837976" w:rsidP="00837976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kern w:val="0"/>
          <w:sz w:val="20"/>
          <w:szCs w:val="20"/>
          <w14:ligatures w14:val="none"/>
        </w:rPr>
      </w:pPr>
      <w:r w:rsidRPr="00837976">
        <w:rPr>
          <w:rFonts w:ascii="Helvetica" w:eastAsia="Times New Roman" w:hAnsi="Helvetica" w:cs="Times New Roman"/>
          <w:b/>
          <w:bCs/>
          <w:kern w:val="0"/>
          <w:sz w:val="20"/>
          <w:szCs w:val="20"/>
          <w14:ligatures w14:val="none"/>
        </w:rPr>
        <w:t>2.4 Creative Hubs and Studios</w:t>
      </w:r>
    </w:p>
    <w:p w14:paraId="23A81453" w14:textId="77777777" w:rsidR="00837976" w:rsidRPr="00837976" w:rsidRDefault="00837976" w:rsidP="008379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 xml:space="preserve">Studio </w:t>
      </w:r>
      <w:proofErr w:type="spellStart"/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Sarmite</w:t>
      </w:r>
      <w:proofErr w:type="spellEnd"/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 xml:space="preserve"> (DE):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A small design studio that pioneers upcycling but faces knowledge gaps in sourcing sustainable certified materials affordably.</w:t>
      </w:r>
    </w:p>
    <w:p w14:paraId="02207F62" w14:textId="77777777" w:rsidR="00837976" w:rsidRPr="00837976" w:rsidRDefault="00837976" w:rsidP="008379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proofErr w:type="spellStart"/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Ecoalf</w:t>
      </w:r>
      <w:proofErr w:type="spellEnd"/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 xml:space="preserve"> (ES):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A leader in circular fashion, emphasizing the need for transparency and traceability in supply chains to maintain consumer trust and scale innovations.</w:t>
      </w:r>
    </w:p>
    <w:p w14:paraId="33C3942A" w14:textId="77777777" w:rsidR="00837976" w:rsidRPr="00837976" w:rsidRDefault="00837976" w:rsidP="008379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Labore (IT):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Highlights the importance of cross-disciplinary exchange between designers and technologists to foster innovative sustainable products.</w:t>
      </w:r>
    </w:p>
    <w:p w14:paraId="7117E6A0" w14:textId="1AE1F09C" w:rsidR="00837976" w:rsidRPr="00837976" w:rsidRDefault="00837976" w:rsidP="00837976">
      <w:pPr>
        <w:spacing w:after="0" w:line="240" w:lineRule="auto"/>
        <w:rPr>
          <w:rFonts w:ascii="Helvetica" w:eastAsia="Times New Roman" w:hAnsi="Helvetica" w:cs="Times New Roman"/>
          <w:kern w:val="0"/>
          <w14:ligatures w14:val="none"/>
        </w:rPr>
      </w:pPr>
    </w:p>
    <w:p w14:paraId="3CF77106" w14:textId="77777777" w:rsidR="00837976" w:rsidRPr="00837976" w:rsidRDefault="00837976" w:rsidP="00837976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837976">
        <w:rPr>
          <w:rFonts w:ascii="Helvetica" w:eastAsia="Times New Roman" w:hAnsi="Helvetica" w:cs="Times New Roman"/>
          <w:b/>
          <w:bCs/>
          <w:kern w:val="0"/>
          <w:sz w:val="20"/>
          <w:szCs w:val="20"/>
          <w:u w:val="single"/>
          <w14:ligatures w14:val="none"/>
        </w:rPr>
        <w:t>3. Industry Needs and Challenges</w:t>
      </w:r>
    </w:p>
    <w:p w14:paraId="7BB7D868" w14:textId="77777777" w:rsidR="00837976" w:rsidRPr="00837976" w:rsidRDefault="00837976" w:rsidP="00837976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>Despite the diversity, both surveys highlighted converging needs:</w:t>
      </w:r>
    </w:p>
    <w:p w14:paraId="56F5F6D4" w14:textId="77777777" w:rsidR="00837976" w:rsidRPr="00837976" w:rsidRDefault="00837976" w:rsidP="00837976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kern w:val="0"/>
          <w:sz w:val="20"/>
          <w:szCs w:val="20"/>
          <w14:ligatures w14:val="none"/>
        </w:rPr>
      </w:pPr>
      <w:r w:rsidRPr="00837976">
        <w:rPr>
          <w:rFonts w:ascii="Helvetica" w:eastAsia="Times New Roman" w:hAnsi="Helvetica" w:cs="Times New Roman"/>
          <w:b/>
          <w:bCs/>
          <w:kern w:val="0"/>
          <w:sz w:val="20"/>
          <w:szCs w:val="20"/>
          <w14:ligatures w14:val="none"/>
        </w:rPr>
        <w:t>3.1 Access to Reliable, Transparent Material Information</w:t>
      </w:r>
    </w:p>
    <w:p w14:paraId="350B162E" w14:textId="77777777" w:rsidR="00837976" w:rsidRPr="00837976" w:rsidRDefault="00837976" w:rsidP="00837976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Universities like </w:t>
      </w:r>
      <w:proofErr w:type="spellStart"/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Politecnico</w:t>
      </w:r>
      <w:proofErr w:type="spellEnd"/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 xml:space="preserve"> di Milano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and </w:t>
      </w: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Moholy-Nagy University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possess deep scientific knowledge but find it difficult to translate complex research into accessible, industry-applicable insights. Creative hubs such as </w:t>
      </w: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 xml:space="preserve">Studio </w:t>
      </w:r>
      <w:proofErr w:type="spellStart"/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Sarmite</w:t>
      </w:r>
      <w:proofErr w:type="spellEnd"/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and labs like </w:t>
      </w:r>
      <w:proofErr w:type="spellStart"/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Lottozero</w:t>
      </w:r>
      <w:proofErr w:type="spellEnd"/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 xml:space="preserve"> Textile Hub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face barriers accessing verified, affordable material data due to fragmentation and inconsistent certifications.</w:t>
      </w:r>
    </w:p>
    <w:p w14:paraId="055EC386" w14:textId="77777777" w:rsidR="00837976" w:rsidRPr="00837976" w:rsidRDefault="00837976" w:rsidP="00837976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proofErr w:type="spellStart"/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Imasus</w:t>
      </w:r>
      <w:proofErr w:type="spellEnd"/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 xml:space="preserve"> Opportunity: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Provide a unified, open-access platform aggregating peer-reviewed material data, verified supplier information, and certification details.</w:t>
      </w:r>
    </w:p>
    <w:p w14:paraId="1F7F92DF" w14:textId="77777777" w:rsidR="00837976" w:rsidRPr="00837976" w:rsidRDefault="00837976" w:rsidP="00837976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kern w:val="0"/>
          <w:sz w:val="20"/>
          <w:szCs w:val="20"/>
          <w14:ligatures w14:val="none"/>
        </w:rPr>
      </w:pPr>
      <w:r w:rsidRPr="00837976">
        <w:rPr>
          <w:rFonts w:ascii="Helvetica" w:eastAsia="Times New Roman" w:hAnsi="Helvetica" w:cs="Times New Roman"/>
          <w:b/>
          <w:bCs/>
          <w:kern w:val="0"/>
          <w:sz w:val="20"/>
          <w:szCs w:val="20"/>
          <w14:ligatures w14:val="none"/>
        </w:rPr>
        <w:t>3.2 Material Sourcing and Validation</w:t>
      </w:r>
    </w:p>
    <w:p w14:paraId="7C322869" w14:textId="77777777" w:rsidR="00837976" w:rsidRPr="00837976" w:rsidRDefault="00837976" w:rsidP="00837976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Sourcing genuinely sustainable textiles is hindered by inconsistent certifications and lack of centralized, trustworthy supplier databases, as reported by </w:t>
      </w: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Beuth Hochschule für Technik Berlin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and </w:t>
      </w: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Textile Prototyping Lab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>.</w:t>
      </w:r>
    </w:p>
    <w:p w14:paraId="2B453537" w14:textId="77777777" w:rsidR="00837976" w:rsidRPr="00837976" w:rsidRDefault="00837976" w:rsidP="00837976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proofErr w:type="spellStart"/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lastRenderedPageBreak/>
        <w:t>Imasus</w:t>
      </w:r>
      <w:proofErr w:type="spellEnd"/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 xml:space="preserve"> Opportunity: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Integrate certified supplier directories and standardized sustainability metrics into the platform.</w:t>
      </w:r>
    </w:p>
    <w:p w14:paraId="19173635" w14:textId="77777777" w:rsidR="00837976" w:rsidRPr="00837976" w:rsidRDefault="00837976" w:rsidP="00837976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kern w:val="0"/>
          <w:sz w:val="20"/>
          <w:szCs w:val="20"/>
          <w14:ligatures w14:val="none"/>
        </w:rPr>
      </w:pPr>
      <w:r w:rsidRPr="00837976">
        <w:rPr>
          <w:rFonts w:ascii="Helvetica" w:eastAsia="Times New Roman" w:hAnsi="Helvetica" w:cs="Times New Roman"/>
          <w:b/>
          <w:bCs/>
          <w:kern w:val="0"/>
          <w:sz w:val="20"/>
          <w:szCs w:val="20"/>
          <w14:ligatures w14:val="none"/>
        </w:rPr>
        <w:t>3.3 Bridging Theory and Practice</w:t>
      </w:r>
    </w:p>
    <w:p w14:paraId="2A873DB6" w14:textId="77777777" w:rsidR="00837976" w:rsidRPr="00837976" w:rsidRDefault="00837976" w:rsidP="00837976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Creative hubs, including </w:t>
      </w: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Waag Textile Lab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and </w:t>
      </w: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Le Textile Lab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>, express difficulty in scaling lab innovations due to insufficient industry infrastructure and lack of practical know-how for circular economy implementation.</w:t>
      </w:r>
    </w:p>
    <w:p w14:paraId="21573A46" w14:textId="77777777" w:rsidR="00837976" w:rsidRPr="00837976" w:rsidRDefault="00837976" w:rsidP="00837976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proofErr w:type="spellStart"/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Imasus</w:t>
      </w:r>
      <w:proofErr w:type="spellEnd"/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 xml:space="preserve"> Opportunity: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Facilitate knowledge transfer via training modules, real-world case studies, and collaborative innovation projects.</w:t>
      </w:r>
    </w:p>
    <w:p w14:paraId="2A634A06" w14:textId="77777777" w:rsidR="00837976" w:rsidRPr="00837976" w:rsidRDefault="00837976" w:rsidP="00837976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kern w:val="0"/>
          <w:sz w:val="20"/>
          <w:szCs w:val="20"/>
          <w14:ligatures w14:val="none"/>
        </w:rPr>
      </w:pPr>
      <w:r w:rsidRPr="00837976">
        <w:rPr>
          <w:rFonts w:ascii="Helvetica" w:eastAsia="Times New Roman" w:hAnsi="Helvetica" w:cs="Times New Roman"/>
          <w:b/>
          <w:bCs/>
          <w:kern w:val="0"/>
          <w:sz w:val="20"/>
          <w:szCs w:val="20"/>
          <w14:ligatures w14:val="none"/>
        </w:rPr>
        <w:t>3.4 Cost and Market Accessibility</w:t>
      </w:r>
    </w:p>
    <w:p w14:paraId="3E1BA3AB" w14:textId="77777777" w:rsidR="00837976" w:rsidRPr="00837976" w:rsidRDefault="00837976" w:rsidP="00837976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Smaller studios like </w:t>
      </w: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 xml:space="preserve">Studio </w:t>
      </w:r>
      <w:proofErr w:type="spellStart"/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Sarmite</w:t>
      </w:r>
      <w:proofErr w:type="spellEnd"/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and emerging enterprises noted that sustainable materials remain costly, limiting market access and scalability.</w:t>
      </w:r>
    </w:p>
    <w:p w14:paraId="4562A8A5" w14:textId="77777777" w:rsidR="00837976" w:rsidRPr="00837976" w:rsidRDefault="00837976" w:rsidP="00837976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proofErr w:type="spellStart"/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Imasus</w:t>
      </w:r>
      <w:proofErr w:type="spellEnd"/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 xml:space="preserve"> Opportunity: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Highlight cost-effective alternatives and support pilot initiatives demonstrating scalable circular business models.</w:t>
      </w:r>
    </w:p>
    <w:p w14:paraId="74EC8D64" w14:textId="77777777" w:rsidR="00837976" w:rsidRPr="00837976" w:rsidRDefault="00837976" w:rsidP="00837976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kern w:val="0"/>
          <w:sz w:val="20"/>
          <w:szCs w:val="20"/>
          <w14:ligatures w14:val="none"/>
        </w:rPr>
      </w:pPr>
      <w:r w:rsidRPr="00837976">
        <w:rPr>
          <w:rFonts w:ascii="Helvetica" w:eastAsia="Times New Roman" w:hAnsi="Helvetica" w:cs="Times New Roman"/>
          <w:b/>
          <w:bCs/>
          <w:kern w:val="0"/>
          <w:sz w:val="20"/>
          <w:szCs w:val="20"/>
          <w14:ligatures w14:val="none"/>
        </w:rPr>
        <w:t>3.5 Collaborative Networking</w:t>
      </w:r>
    </w:p>
    <w:p w14:paraId="400619E6" w14:textId="35A6A83F" w:rsidR="00837976" w:rsidRPr="00837976" w:rsidRDefault="00837976" w:rsidP="00837976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Networks such as </w:t>
      </w: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European Textile Network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and </w:t>
      </w: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MAD Brussels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underscore the need for stronger cross-sector collaboration to accelerate sustainable innovation.</w:t>
      </w:r>
      <w:r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br/>
      </w:r>
      <w:proofErr w:type="spellStart"/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Imasus</w:t>
      </w:r>
      <w:proofErr w:type="spellEnd"/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 xml:space="preserve"> Opportunity: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Build community tools and event facilitation features to foster ongoing collaboration and resource sharing.</w:t>
      </w:r>
    </w:p>
    <w:p w14:paraId="451C5F93" w14:textId="2F5DF258" w:rsidR="00837976" w:rsidRPr="00837976" w:rsidRDefault="00837976" w:rsidP="00837976">
      <w:pPr>
        <w:spacing w:after="0" w:line="240" w:lineRule="auto"/>
        <w:rPr>
          <w:rFonts w:ascii="Helvetica" w:eastAsia="Times New Roman" w:hAnsi="Helvetica" w:cs="Times New Roman"/>
          <w:kern w:val="0"/>
          <w14:ligatures w14:val="none"/>
        </w:rPr>
      </w:pPr>
    </w:p>
    <w:p w14:paraId="6C8B6E21" w14:textId="77777777" w:rsidR="00837976" w:rsidRPr="00837976" w:rsidRDefault="00837976" w:rsidP="00837976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kern w:val="0"/>
          <w:sz w:val="16"/>
          <w:szCs w:val="16"/>
          <w:u w:val="single"/>
          <w14:ligatures w14:val="none"/>
        </w:rPr>
      </w:pPr>
      <w:r w:rsidRPr="00837976">
        <w:rPr>
          <w:rFonts w:ascii="Helvetica" w:eastAsia="Times New Roman" w:hAnsi="Helvetica" w:cs="Times New Roman"/>
          <w:b/>
          <w:bCs/>
          <w:kern w:val="0"/>
          <w:sz w:val="20"/>
          <w:szCs w:val="20"/>
          <w:u w:val="single"/>
          <w14:ligatures w14:val="none"/>
        </w:rPr>
        <w:t xml:space="preserve">4. The </w:t>
      </w:r>
      <w:proofErr w:type="spellStart"/>
      <w:r w:rsidRPr="00837976">
        <w:rPr>
          <w:rFonts w:ascii="Helvetica" w:eastAsia="Times New Roman" w:hAnsi="Helvetica" w:cs="Times New Roman"/>
          <w:b/>
          <w:bCs/>
          <w:kern w:val="0"/>
          <w:sz w:val="20"/>
          <w:szCs w:val="20"/>
          <w:u w:val="single"/>
          <w14:ligatures w14:val="none"/>
        </w:rPr>
        <w:t>Imasus</w:t>
      </w:r>
      <w:proofErr w:type="spellEnd"/>
      <w:r w:rsidRPr="00837976">
        <w:rPr>
          <w:rFonts w:ascii="Helvetica" w:eastAsia="Times New Roman" w:hAnsi="Helvetica" w:cs="Times New Roman"/>
          <w:b/>
          <w:bCs/>
          <w:kern w:val="0"/>
          <w:sz w:val="20"/>
          <w:szCs w:val="20"/>
          <w:u w:val="single"/>
          <w14:ligatures w14:val="none"/>
        </w:rPr>
        <w:t xml:space="preserve"> Project’s Strategic Role</w:t>
      </w:r>
    </w:p>
    <w:p w14:paraId="3C0CDF20" w14:textId="77777777" w:rsidR="00837976" w:rsidRPr="00837976" w:rsidRDefault="00837976" w:rsidP="00837976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proofErr w:type="spellStart"/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>Imasus</w:t>
      </w:r>
      <w:proofErr w:type="spellEnd"/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aims to become the </w:t>
      </w: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digital backbone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for sustainable textile innovation by:</w:t>
      </w:r>
    </w:p>
    <w:p w14:paraId="54D8A11F" w14:textId="77777777" w:rsidR="00837976" w:rsidRPr="00837976" w:rsidRDefault="00837976" w:rsidP="008379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Creating an </w:t>
      </w: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open, dynamic database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aggregating validated scientific material data, sustainability certifications, and supplier information from academic partners like </w:t>
      </w: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Aalto University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, </w:t>
      </w:r>
      <w:proofErr w:type="spellStart"/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Politecnico</w:t>
      </w:r>
      <w:proofErr w:type="spellEnd"/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 xml:space="preserve"> di Milano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, and creative labs such as </w:t>
      </w:r>
      <w:proofErr w:type="spellStart"/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Lottozero</w:t>
      </w:r>
      <w:proofErr w:type="spellEnd"/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and </w:t>
      </w: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Waag Textile Lab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>.</w:t>
      </w:r>
    </w:p>
    <w:p w14:paraId="15A9FB94" w14:textId="77777777" w:rsidR="00837976" w:rsidRPr="00837976" w:rsidRDefault="00837976" w:rsidP="008379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Offering </w:t>
      </w: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educational resources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tailored to various expertise levels, co-developed with universities (</w:t>
      </w: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NABA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, </w:t>
      </w: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Moholy-Nagy University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>) and industry networks (</w:t>
      </w: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EURATEX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, </w:t>
      </w: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ACTE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>).</w:t>
      </w:r>
    </w:p>
    <w:p w14:paraId="35252406" w14:textId="77777777" w:rsidR="00837976" w:rsidRPr="00837976" w:rsidRDefault="00837976" w:rsidP="008379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Enabling </w:t>
      </w: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collaborative tools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that connect universities, labs, creative hubs, and networks (e.g., </w:t>
      </w: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European Textile Network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, </w:t>
      </w: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MAD Brussels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>) to share knowledge and co-develop solutions.</w:t>
      </w:r>
    </w:p>
    <w:p w14:paraId="6CE3CA0D" w14:textId="77777777" w:rsidR="00837976" w:rsidRPr="00837976" w:rsidRDefault="00837976" w:rsidP="008379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Supporting </w:t>
      </w: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transparency and traceability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to empower stakeholders such as </w:t>
      </w:r>
      <w:proofErr w:type="spellStart"/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Ecoalf</w:t>
      </w:r>
      <w:proofErr w:type="spellEnd"/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and </w:t>
      </w: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 xml:space="preserve">Studio </w:t>
      </w:r>
      <w:proofErr w:type="spellStart"/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Sarmite</w:t>
      </w:r>
      <w:proofErr w:type="spellEnd"/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to make informed, sustainable material choices.</w:t>
      </w:r>
    </w:p>
    <w:p w14:paraId="79CB46AF" w14:textId="77777777" w:rsidR="00837976" w:rsidRPr="00837976" w:rsidRDefault="00837976" w:rsidP="008379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Encouraging </w:t>
      </w: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pilot initiatives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and innovation labs to demonstrate practical, scalable circular economy models.</w:t>
      </w:r>
    </w:p>
    <w:p w14:paraId="0663B26C" w14:textId="24F2C015" w:rsidR="00837976" w:rsidRPr="00837976" w:rsidRDefault="00837976" w:rsidP="00837976">
      <w:pPr>
        <w:spacing w:after="0" w:line="240" w:lineRule="auto"/>
        <w:rPr>
          <w:rFonts w:ascii="Helvetica" w:eastAsia="Times New Roman" w:hAnsi="Helvetica" w:cs="Times New Roman"/>
          <w:kern w:val="0"/>
          <w14:ligatures w14:val="none"/>
        </w:rPr>
      </w:pPr>
    </w:p>
    <w:p w14:paraId="39C07CAD" w14:textId="77777777" w:rsidR="00837976" w:rsidRPr="00837976" w:rsidRDefault="00837976" w:rsidP="00837976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837976">
        <w:rPr>
          <w:rFonts w:ascii="Helvetica" w:eastAsia="Times New Roman" w:hAnsi="Helvetica" w:cs="Times New Roman"/>
          <w:b/>
          <w:bCs/>
          <w:kern w:val="0"/>
          <w:sz w:val="20"/>
          <w:szCs w:val="20"/>
          <w:u w:val="single"/>
          <w14:ligatures w14:val="none"/>
        </w:rPr>
        <w:t>5. Detailed Stakeholder Insights</w:t>
      </w:r>
    </w:p>
    <w:p w14:paraId="287BCF77" w14:textId="77777777" w:rsidR="00837976" w:rsidRPr="00837976" w:rsidRDefault="00837976" w:rsidP="00837976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</w:pPr>
      <w:r w:rsidRPr="00837976">
        <w:rPr>
          <w:rFonts w:ascii="Helvetica" w:eastAsia="Times New Roman" w:hAnsi="Helvetica" w:cs="Times New Roman"/>
          <w:b/>
          <w:bCs/>
          <w:kern w:val="0"/>
          <w:sz w:val="20"/>
          <w:szCs w:val="20"/>
          <w14:ligatures w14:val="none"/>
        </w:rPr>
        <w:t>5.1 Universities and Schools</w:t>
      </w:r>
    </w:p>
    <w:p w14:paraId="30D2E12C" w14:textId="77777777" w:rsidR="00837976" w:rsidRPr="00837976" w:rsidRDefault="00837976" w:rsidP="008379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proofErr w:type="spellStart"/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Politecnico</w:t>
      </w:r>
      <w:proofErr w:type="spellEnd"/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 xml:space="preserve"> di Milano: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Need for better industry communication and accessible data translation.</w:t>
      </w:r>
    </w:p>
    <w:p w14:paraId="25151FC4" w14:textId="77777777" w:rsidR="00837976" w:rsidRPr="00837976" w:rsidRDefault="00837976" w:rsidP="008379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Aalto University: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Strong emphasis on interdisciplinary collaboration and open platforms.</w:t>
      </w:r>
    </w:p>
    <w:p w14:paraId="36706052" w14:textId="77777777" w:rsidR="00837976" w:rsidRPr="00837976" w:rsidRDefault="00837976" w:rsidP="008379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Moholy-Nagy University: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Calls for transparent certification information and practical material databases.</w:t>
      </w:r>
    </w:p>
    <w:p w14:paraId="102BF386" w14:textId="77777777" w:rsidR="00837976" w:rsidRPr="00837976" w:rsidRDefault="00837976" w:rsidP="008379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Beuth Hochschule für Technik Berlin: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Requires verified supplier networks and sourcing support.</w:t>
      </w:r>
    </w:p>
    <w:p w14:paraId="012A04F8" w14:textId="77777777" w:rsidR="00837976" w:rsidRPr="00837976" w:rsidRDefault="00837976" w:rsidP="00837976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</w:pPr>
      <w:r w:rsidRPr="00837976">
        <w:rPr>
          <w:rFonts w:ascii="Helvetica" w:eastAsia="Times New Roman" w:hAnsi="Helvetica" w:cs="Times New Roman"/>
          <w:b/>
          <w:bCs/>
          <w:kern w:val="0"/>
          <w:sz w:val="20"/>
          <w:szCs w:val="20"/>
          <w14:ligatures w14:val="none"/>
        </w:rPr>
        <w:lastRenderedPageBreak/>
        <w:t>5.2 Creative and Textile Labs</w:t>
      </w:r>
    </w:p>
    <w:p w14:paraId="440D54CB" w14:textId="77777777" w:rsidR="00837976" w:rsidRPr="00837976" w:rsidRDefault="00837976" w:rsidP="008379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proofErr w:type="spellStart"/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Lottozero</w:t>
      </w:r>
      <w:proofErr w:type="spellEnd"/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 xml:space="preserve"> Textile Hub: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Scaling innovation beyond pilots is a key challenge.</w:t>
      </w:r>
    </w:p>
    <w:p w14:paraId="4E7ABA27" w14:textId="77777777" w:rsidR="00837976" w:rsidRPr="00837976" w:rsidRDefault="00837976" w:rsidP="008379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Textile Prototyping Lab: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Needs better access to comprehensive supplier and certification data.</w:t>
      </w:r>
    </w:p>
    <w:p w14:paraId="55443745" w14:textId="77777777" w:rsidR="00837976" w:rsidRPr="00837976" w:rsidRDefault="00837976" w:rsidP="008379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Waag Textile Lab: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Requests modular education and open-access knowledge repositories.</w:t>
      </w:r>
    </w:p>
    <w:p w14:paraId="35092863" w14:textId="77777777" w:rsidR="00837976" w:rsidRPr="00837976" w:rsidRDefault="00837976" w:rsidP="00837976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kern w:val="0"/>
          <w:sz w:val="20"/>
          <w:szCs w:val="20"/>
          <w14:ligatures w14:val="none"/>
        </w:rPr>
      </w:pPr>
      <w:r w:rsidRPr="00837976">
        <w:rPr>
          <w:rFonts w:ascii="Helvetica" w:eastAsia="Times New Roman" w:hAnsi="Helvetica" w:cs="Times New Roman"/>
          <w:b/>
          <w:bCs/>
          <w:kern w:val="0"/>
          <w:sz w:val="20"/>
          <w:szCs w:val="20"/>
          <w14:ligatures w14:val="none"/>
        </w:rPr>
        <w:t>5.3 Networks and Institutional Platforms</w:t>
      </w:r>
    </w:p>
    <w:p w14:paraId="3B5F1B08" w14:textId="77777777" w:rsidR="00837976" w:rsidRPr="00837976" w:rsidRDefault="00837976" w:rsidP="0083797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European Textile Network: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Pushes for pan-European knowledge standardization and collaboration.</w:t>
      </w:r>
    </w:p>
    <w:p w14:paraId="4A9CDD2B" w14:textId="77777777" w:rsidR="00837976" w:rsidRPr="00837976" w:rsidRDefault="00837976" w:rsidP="0083797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EURATEX: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Focuses on supply chain transparency and certification harmonization.</w:t>
      </w:r>
    </w:p>
    <w:p w14:paraId="7EDD9D99" w14:textId="77777777" w:rsidR="00837976" w:rsidRPr="00837976" w:rsidRDefault="00837976" w:rsidP="0083797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ACTE: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Advocates for SME access to verified material data and scalable solutions.</w:t>
      </w:r>
    </w:p>
    <w:p w14:paraId="16F3F4C4" w14:textId="77777777" w:rsidR="00837976" w:rsidRPr="00837976" w:rsidRDefault="00837976" w:rsidP="00837976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kern w:val="0"/>
          <w:sz w:val="20"/>
          <w:szCs w:val="20"/>
          <w14:ligatures w14:val="none"/>
        </w:rPr>
      </w:pPr>
      <w:r w:rsidRPr="00837976">
        <w:rPr>
          <w:rFonts w:ascii="Helvetica" w:eastAsia="Times New Roman" w:hAnsi="Helvetica" w:cs="Times New Roman"/>
          <w:b/>
          <w:bCs/>
          <w:kern w:val="0"/>
          <w:sz w:val="20"/>
          <w:szCs w:val="20"/>
          <w14:ligatures w14:val="none"/>
        </w:rPr>
        <w:t>5.4 Creative Hubs and Studios</w:t>
      </w:r>
    </w:p>
    <w:p w14:paraId="2801B22F" w14:textId="77777777" w:rsidR="00837976" w:rsidRPr="00837976" w:rsidRDefault="00837976" w:rsidP="0083797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 xml:space="preserve">Studio </w:t>
      </w:r>
      <w:proofErr w:type="spellStart"/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Sarmite</w:t>
      </w:r>
      <w:proofErr w:type="spellEnd"/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: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Limited access to affordable sustainable materials.</w:t>
      </w:r>
    </w:p>
    <w:p w14:paraId="641D8AA4" w14:textId="77777777" w:rsidR="00837976" w:rsidRPr="00837976" w:rsidRDefault="00837976" w:rsidP="0083797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proofErr w:type="spellStart"/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Ecoalf</w:t>
      </w:r>
      <w:proofErr w:type="spellEnd"/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: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High demand for transparency and traceability tools.</w:t>
      </w:r>
    </w:p>
    <w:p w14:paraId="5C5CA00D" w14:textId="77777777" w:rsidR="00837976" w:rsidRPr="00837976" w:rsidRDefault="00837976" w:rsidP="0083797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Labore: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Emphasizes cross-disciplinary exchange.</w:t>
      </w:r>
    </w:p>
    <w:p w14:paraId="6874F0D5" w14:textId="1FEFED7D" w:rsidR="00837976" w:rsidRPr="00837976" w:rsidRDefault="00837976" w:rsidP="00837976">
      <w:pPr>
        <w:spacing w:after="0" w:line="240" w:lineRule="auto"/>
        <w:rPr>
          <w:rFonts w:ascii="Helvetica" w:eastAsia="Times New Roman" w:hAnsi="Helvetica" w:cs="Times New Roman"/>
          <w:kern w:val="0"/>
          <w14:ligatures w14:val="none"/>
        </w:rPr>
      </w:pPr>
    </w:p>
    <w:p w14:paraId="6947FA9C" w14:textId="77777777" w:rsidR="00837976" w:rsidRPr="00837976" w:rsidRDefault="00837976" w:rsidP="00837976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837976">
        <w:rPr>
          <w:rFonts w:ascii="Helvetica" w:eastAsia="Times New Roman" w:hAnsi="Helvetica" w:cs="Times New Roman"/>
          <w:b/>
          <w:bCs/>
          <w:kern w:val="0"/>
          <w:sz w:val="20"/>
          <w:szCs w:val="20"/>
          <w:u w:val="single"/>
          <w14:ligatures w14:val="none"/>
        </w:rPr>
        <w:t xml:space="preserve">6. Recommendations for </w:t>
      </w:r>
      <w:proofErr w:type="spellStart"/>
      <w:r w:rsidRPr="00837976">
        <w:rPr>
          <w:rFonts w:ascii="Helvetica" w:eastAsia="Times New Roman" w:hAnsi="Helvetica" w:cs="Times New Roman"/>
          <w:b/>
          <w:bCs/>
          <w:kern w:val="0"/>
          <w:sz w:val="20"/>
          <w:szCs w:val="20"/>
          <w:u w:val="single"/>
          <w14:ligatures w14:val="none"/>
        </w:rPr>
        <w:t>Imasus</w:t>
      </w:r>
      <w:proofErr w:type="spellEnd"/>
      <w:r w:rsidRPr="00837976">
        <w:rPr>
          <w:rFonts w:ascii="Helvetica" w:eastAsia="Times New Roman" w:hAnsi="Helvetica" w:cs="Times New Roman"/>
          <w:b/>
          <w:bCs/>
          <w:kern w:val="0"/>
          <w:sz w:val="20"/>
          <w:szCs w:val="20"/>
          <w:u w:val="single"/>
          <w14:ligatures w14:val="none"/>
        </w:rPr>
        <w:t xml:space="preserve"> Implementation</w:t>
      </w:r>
    </w:p>
    <w:p w14:paraId="09662DB5" w14:textId="77777777" w:rsidR="00837976" w:rsidRPr="00837976" w:rsidRDefault="00837976" w:rsidP="0083797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Develop a User-Centric Digital Platform: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br/>
        <w:t xml:space="preserve">Design with multi-language support and intuitive navigation to serve users ranging from </w:t>
      </w: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NABA students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to </w:t>
      </w:r>
      <w:proofErr w:type="spellStart"/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Lottozero</w:t>
      </w:r>
      <w:proofErr w:type="spellEnd"/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 xml:space="preserve"> designers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>.</w:t>
      </w:r>
    </w:p>
    <w:p w14:paraId="2FF435F9" w14:textId="77777777" w:rsidR="00837976" w:rsidRPr="00837976" w:rsidRDefault="00837976" w:rsidP="0083797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Curate and Validate Material Data: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br/>
        <w:t xml:space="preserve">Partner with academic institutions such as </w:t>
      </w: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Aalto University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and certification bodies to ensure accuracy.</w:t>
      </w:r>
    </w:p>
    <w:p w14:paraId="46C7544B" w14:textId="77777777" w:rsidR="00837976" w:rsidRPr="00837976" w:rsidRDefault="00837976" w:rsidP="0083797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Build Modular Educational Content: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br/>
        <w:t>Co-create learning modules with universities and labs to cover beginner to advanced users.</w:t>
      </w:r>
    </w:p>
    <w:p w14:paraId="67F99BFB" w14:textId="77777777" w:rsidR="00837976" w:rsidRPr="00837976" w:rsidRDefault="00837976" w:rsidP="0083797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Enable Network and Collaboration Tools: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br/>
        <w:t xml:space="preserve">Include forums and project matchmaking for entities like </w:t>
      </w: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European Textile Network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, </w:t>
      </w: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MAD Brussels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, and </w:t>
      </w: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ACTE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members.</w:t>
      </w:r>
    </w:p>
    <w:p w14:paraId="6DE1EB1C" w14:textId="77777777" w:rsidR="00837976" w:rsidRPr="00837976" w:rsidRDefault="00837976" w:rsidP="0083797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Support Pilot Projects: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br/>
        <w:t xml:space="preserve">Facilitate funding and technical assistance for hubs like </w:t>
      </w: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Textile Prototyping Lab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and studios such as </w:t>
      </w: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 xml:space="preserve">Studio </w:t>
      </w:r>
      <w:proofErr w:type="spellStart"/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Sarmite</w:t>
      </w:r>
      <w:proofErr w:type="spellEnd"/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>.</w:t>
      </w:r>
    </w:p>
    <w:p w14:paraId="61EC3589" w14:textId="41690FF2" w:rsidR="00837976" w:rsidRDefault="00837976" w:rsidP="0083797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Ensure Continuous Feedback and Adaptation: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br/>
        <w:t>Engage all stakeholders in iterative development to keep the platform responsive and relevant.</w:t>
      </w:r>
    </w:p>
    <w:p w14:paraId="5FD130F6" w14:textId="77777777" w:rsidR="00837976" w:rsidRPr="00837976" w:rsidRDefault="00837976" w:rsidP="00837976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</w:p>
    <w:p w14:paraId="3DCEBDF5" w14:textId="77777777" w:rsidR="00837976" w:rsidRPr="00837976" w:rsidRDefault="00837976" w:rsidP="00837976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kern w:val="0"/>
          <w:sz w:val="20"/>
          <w:szCs w:val="20"/>
          <w14:ligatures w14:val="none"/>
        </w:rPr>
      </w:pPr>
      <w:r w:rsidRPr="00837976">
        <w:rPr>
          <w:rFonts w:ascii="Helvetica" w:eastAsia="Times New Roman" w:hAnsi="Helvetica" w:cs="Times New Roman"/>
          <w:b/>
          <w:bCs/>
          <w:kern w:val="0"/>
          <w:sz w:val="20"/>
          <w:szCs w:val="20"/>
          <w14:ligatures w14:val="none"/>
        </w:rPr>
        <w:t>7. Conclusion</w:t>
      </w:r>
    </w:p>
    <w:p w14:paraId="3F5A3D24" w14:textId="77777777" w:rsidR="00837976" w:rsidRPr="00837976" w:rsidRDefault="00837976" w:rsidP="00837976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The sustainable textile and fashion industry’s transition hinges on </w:t>
      </w: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integrated knowledge sharing, transparency, and collaborative innovation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. Our dual-survey analysis, referencing concrete contributions from key institutions including </w:t>
      </w:r>
      <w:proofErr w:type="spellStart"/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Politecnico</w:t>
      </w:r>
      <w:proofErr w:type="spellEnd"/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 xml:space="preserve"> di Milano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, </w:t>
      </w: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Aalto University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, </w:t>
      </w:r>
      <w:proofErr w:type="spellStart"/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Lottozero</w:t>
      </w:r>
      <w:proofErr w:type="spellEnd"/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 xml:space="preserve"> Textile Hub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, and networks like </w:t>
      </w:r>
      <w:r w:rsidRPr="00837976">
        <w:rPr>
          <w:rFonts w:ascii="Helvetica" w:eastAsia="Times New Roman" w:hAnsi="Helvetica" w:cs="Times New Roman"/>
          <w:b/>
          <w:bCs/>
          <w:kern w:val="0"/>
          <w:sz w:val="16"/>
          <w:szCs w:val="16"/>
          <w14:ligatures w14:val="none"/>
        </w:rPr>
        <w:t>EURATEX</w:t>
      </w: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>, demonstrates the complementary roles and shared challenges across the sector.</w:t>
      </w:r>
    </w:p>
    <w:p w14:paraId="03E85F74" w14:textId="77777777" w:rsidR="00837976" w:rsidRPr="00837976" w:rsidRDefault="00837976" w:rsidP="00837976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The </w:t>
      </w:r>
      <w:proofErr w:type="spellStart"/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>Imasus</w:t>
      </w:r>
      <w:proofErr w:type="spellEnd"/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project is uniquely positioned to bridge these gaps—by delivering an accessible, comprehensive digital ecosystem that fosters cooperation, reduces fragmentation, and accelerates the adoption of sustainable materials and circular design practices.</w:t>
      </w:r>
    </w:p>
    <w:p w14:paraId="5BDC51AB" w14:textId="4CBF59BF" w:rsidR="007E05AD" w:rsidRPr="00837976" w:rsidRDefault="00837976" w:rsidP="00837976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</w:pPr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By responding directly to the articulated needs and ambitions of this rich stakeholder ecosystem, </w:t>
      </w:r>
      <w:proofErr w:type="spellStart"/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>Imasus</w:t>
      </w:r>
      <w:proofErr w:type="spellEnd"/>
      <w:r w:rsidRPr="00837976">
        <w:rPr>
          <w:rFonts w:ascii="Helvetica" w:eastAsia="Times New Roman" w:hAnsi="Helvetica" w:cs="Times New Roman"/>
          <w:kern w:val="0"/>
          <w:sz w:val="16"/>
          <w:szCs w:val="16"/>
          <w14:ligatures w14:val="none"/>
        </w:rPr>
        <w:t xml:space="preserve"> can become a catalyst for lasting impact across Europe’s textile and fashion sectors.</w:t>
      </w:r>
    </w:p>
    <w:sectPr w:rsidR="007E05AD" w:rsidRPr="0083797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D3920" w14:textId="77777777" w:rsidR="00E76D6B" w:rsidRDefault="00E76D6B" w:rsidP="006C1982">
      <w:pPr>
        <w:spacing w:after="0" w:line="240" w:lineRule="auto"/>
      </w:pPr>
      <w:r>
        <w:separator/>
      </w:r>
    </w:p>
  </w:endnote>
  <w:endnote w:type="continuationSeparator" w:id="0">
    <w:p w14:paraId="4D7AF452" w14:textId="77777777" w:rsidR="00E76D6B" w:rsidRDefault="00E76D6B" w:rsidP="006C1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AAF14" w14:textId="77777777" w:rsidR="00E76D6B" w:rsidRDefault="00E76D6B" w:rsidP="006C1982">
      <w:pPr>
        <w:spacing w:after="0" w:line="240" w:lineRule="auto"/>
      </w:pPr>
      <w:r>
        <w:separator/>
      </w:r>
    </w:p>
  </w:footnote>
  <w:footnote w:type="continuationSeparator" w:id="0">
    <w:p w14:paraId="2249EAED" w14:textId="77777777" w:rsidR="00E76D6B" w:rsidRDefault="00E76D6B" w:rsidP="006C1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01F65" w14:textId="52A33F65" w:rsidR="006C1982" w:rsidRDefault="006C1982" w:rsidP="006C1982">
    <w:pPr>
      <w:pStyle w:val="Header"/>
      <w:jc w:val="center"/>
    </w:pPr>
    <w:r>
      <w:rPr>
        <w:noProof/>
      </w:rPr>
      <w:drawing>
        <wp:inline distT="0" distB="0" distL="0" distR="0" wp14:anchorId="5BC3D8C9" wp14:editId="62C2CAB5">
          <wp:extent cx="1905532" cy="461673"/>
          <wp:effectExtent l="0" t="0" r="0" b="0"/>
          <wp:docPr id="553514475" name="Picture 2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3514475" name="Picture 2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8773" cy="503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EF48AC" w14:textId="77777777" w:rsidR="006C1982" w:rsidRDefault="006C1982" w:rsidP="006C1982">
    <w:pPr>
      <w:pStyle w:val="Header"/>
      <w:jc w:val="center"/>
    </w:pPr>
  </w:p>
  <w:p w14:paraId="6F35A9A9" w14:textId="77777777" w:rsidR="006C1982" w:rsidRDefault="006C1982" w:rsidP="006C198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4089"/>
    <w:multiLevelType w:val="multilevel"/>
    <w:tmpl w:val="F1D2B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03992"/>
    <w:multiLevelType w:val="multilevel"/>
    <w:tmpl w:val="CA1C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E85704"/>
    <w:multiLevelType w:val="multilevel"/>
    <w:tmpl w:val="DB003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080EA9"/>
    <w:multiLevelType w:val="multilevel"/>
    <w:tmpl w:val="5190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445D27"/>
    <w:multiLevelType w:val="multilevel"/>
    <w:tmpl w:val="BA48D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F53F73"/>
    <w:multiLevelType w:val="multilevel"/>
    <w:tmpl w:val="D48A5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431AA4"/>
    <w:multiLevelType w:val="multilevel"/>
    <w:tmpl w:val="8A4CF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7D4CD4"/>
    <w:multiLevelType w:val="multilevel"/>
    <w:tmpl w:val="5EB6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AE781D"/>
    <w:multiLevelType w:val="multilevel"/>
    <w:tmpl w:val="77F8F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7B084D"/>
    <w:multiLevelType w:val="multilevel"/>
    <w:tmpl w:val="644C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B131A1"/>
    <w:multiLevelType w:val="multilevel"/>
    <w:tmpl w:val="32DA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4977053">
    <w:abstractNumId w:val="10"/>
  </w:num>
  <w:num w:numId="2" w16cid:durableId="739789700">
    <w:abstractNumId w:val="7"/>
  </w:num>
  <w:num w:numId="3" w16cid:durableId="1522354886">
    <w:abstractNumId w:val="5"/>
  </w:num>
  <w:num w:numId="4" w16cid:durableId="1265111123">
    <w:abstractNumId w:val="4"/>
  </w:num>
  <w:num w:numId="5" w16cid:durableId="899097355">
    <w:abstractNumId w:val="9"/>
  </w:num>
  <w:num w:numId="6" w16cid:durableId="932863533">
    <w:abstractNumId w:val="0"/>
  </w:num>
  <w:num w:numId="7" w16cid:durableId="1425105825">
    <w:abstractNumId w:val="2"/>
  </w:num>
  <w:num w:numId="8" w16cid:durableId="1796825332">
    <w:abstractNumId w:val="6"/>
  </w:num>
  <w:num w:numId="9" w16cid:durableId="631012817">
    <w:abstractNumId w:val="3"/>
  </w:num>
  <w:num w:numId="10" w16cid:durableId="840240608">
    <w:abstractNumId w:val="1"/>
  </w:num>
  <w:num w:numId="11" w16cid:durableId="19896243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76"/>
    <w:rsid w:val="00566463"/>
    <w:rsid w:val="006C1982"/>
    <w:rsid w:val="007E05AD"/>
    <w:rsid w:val="00837976"/>
    <w:rsid w:val="00AF79F8"/>
    <w:rsid w:val="00D105FA"/>
    <w:rsid w:val="00E7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D9DF6"/>
  <w15:chartTrackingRefBased/>
  <w15:docId w15:val="{42354EE8-E827-6C40-8738-132F190F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7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79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9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9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79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379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9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9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9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9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9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9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9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9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9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9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9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97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37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3797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C19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982"/>
  </w:style>
  <w:style w:type="paragraph" w:styleId="Footer">
    <w:name w:val="footer"/>
    <w:basedOn w:val="Normal"/>
    <w:link w:val="FooterChar"/>
    <w:uiPriority w:val="99"/>
    <w:unhideWhenUsed/>
    <w:rsid w:val="006C19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1704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Moroder</dc:creator>
  <cp:keywords/>
  <dc:description/>
  <cp:lastModifiedBy>Tessa Moroder</cp:lastModifiedBy>
  <cp:revision>1</cp:revision>
  <dcterms:created xsi:type="dcterms:W3CDTF">2025-06-04T16:47:00Z</dcterms:created>
  <dcterms:modified xsi:type="dcterms:W3CDTF">2025-06-04T17:09:00Z</dcterms:modified>
</cp:coreProperties>
</file>